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Lato" w:cs="Lato" w:eastAsia="Lato" w:hAnsi="Lato"/>
          <w:color w:val="57869b"/>
        </w:rPr>
      </w:pPr>
      <w:bookmarkStart w:colFirst="0" w:colLast="0" w:name="_58n98kvb04qx" w:id="0"/>
      <w:bookmarkEnd w:id="0"/>
      <w:r w:rsidDel="00000000" w:rsidR="00000000" w:rsidRPr="00000000">
        <w:rPr>
          <w:rFonts w:ascii="Lato" w:cs="Lato" w:eastAsia="Lato" w:hAnsi="Lato"/>
          <w:color w:val="57869b"/>
        </w:rPr>
        <w:drawing>
          <wp:inline distB="114300" distT="114300" distL="114300" distR="114300">
            <wp:extent cx="833438" cy="83506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3438" cy="835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Lato" w:cs="Lato" w:eastAsia="Lato" w:hAnsi="Lato"/>
          <w:color w:val="57869b"/>
        </w:rPr>
      </w:pPr>
      <w:bookmarkStart w:colFirst="0" w:colLast="0" w:name="_g6xex6k3ei7k" w:id="1"/>
      <w:bookmarkEnd w:id="1"/>
      <w:r w:rsidDel="00000000" w:rsidR="00000000" w:rsidRPr="00000000">
        <w:rPr>
          <w:rFonts w:ascii="Lato" w:cs="Lato" w:eastAsia="Lato" w:hAnsi="Lato"/>
          <w:color w:val="57869b"/>
          <w:rtl w:val="0"/>
        </w:rPr>
        <w:t xml:space="preserve">UDL Frayer Model</w:t>
      </w:r>
    </w:p>
    <w:p w:rsidR="00000000" w:rsidDel="00000000" w:rsidP="00000000" w:rsidRDefault="00000000" w:rsidRPr="00000000" w14:paraId="00000003">
      <w:pPr>
        <w:pStyle w:val="Subtitle"/>
        <w:jc w:val="center"/>
        <w:rPr>
          <w:sz w:val="28"/>
          <w:szCs w:val="28"/>
        </w:rPr>
      </w:pPr>
      <w:bookmarkStart w:colFirst="0" w:colLast="0" w:name="_4fhui9qd96cm" w:id="2"/>
      <w:bookmarkEnd w:id="2"/>
      <w:r w:rsidDel="00000000" w:rsidR="00000000" w:rsidRPr="00000000">
        <w:rPr>
          <w:sz w:val="28"/>
          <w:szCs w:val="28"/>
          <w:rtl w:val="0"/>
        </w:rPr>
        <w:t xml:space="preserve">Dr. Katie Novak &amp; Michael Woodlock</w:t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Lato" w:cs="Lato" w:eastAsia="Lato" w:hAnsi="Lato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trHeight w:val="560" w:hRule="atLeast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7b226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Style w:val="Heading1"/>
              <w:widowControl w:val="0"/>
              <w:spacing w:after="0" w:before="0" w:lineRule="auto"/>
              <w:rPr>
                <w:color w:val="ffffff"/>
              </w:rPr>
            </w:pPr>
            <w:bookmarkStart w:colFirst="0" w:colLast="0" w:name="_fsjw8we6nvkd" w:id="3"/>
            <w:bookmarkEnd w:id="3"/>
            <w:r w:rsidDel="00000000" w:rsidR="00000000" w:rsidRPr="00000000">
              <w:rPr>
                <w:color w:val="ffffff"/>
                <w:rtl w:val="0"/>
              </w:rPr>
              <w:t xml:space="preserve">Universal Design for Learning (UDL)</w:t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b4dcd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2"/>
              <w:widowControl w:val="0"/>
              <w:spacing w:after="0" w:before="0" w:lineRule="auto"/>
              <w:jc w:val="center"/>
              <w:rPr>
                <w:color w:val="ffffff"/>
              </w:rPr>
            </w:pPr>
            <w:bookmarkStart w:colFirst="0" w:colLast="0" w:name="_t2h5ggk4uihu" w:id="4"/>
            <w:bookmarkEnd w:id="4"/>
            <w:r w:rsidDel="00000000" w:rsidR="00000000" w:rsidRPr="00000000">
              <w:rPr>
                <w:color w:val="ffffff"/>
                <w:rtl w:val="0"/>
              </w:rPr>
              <w:t xml:space="preserve">Definition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b4dcd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2"/>
              <w:spacing w:after="0" w:before="0" w:lineRule="auto"/>
              <w:jc w:val="center"/>
              <w:rPr>
                <w:color w:val="ffffff"/>
              </w:rPr>
            </w:pPr>
            <w:bookmarkStart w:colFirst="0" w:colLast="0" w:name="_t2h5ggk4uihu" w:id="4"/>
            <w:bookmarkEnd w:id="4"/>
            <w:r w:rsidDel="00000000" w:rsidR="00000000" w:rsidRPr="00000000">
              <w:rPr>
                <w:color w:val="ffffff"/>
                <w:rtl w:val="0"/>
              </w:rPr>
              <w:t xml:space="preserve">Relevant Attributes</w:t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>
                <w:rFonts w:ascii="Lato" w:cs="Lato" w:eastAsia="Lato" w:hAnsi="Lato"/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Lato" w:cs="Lato" w:eastAsia="Lato" w:hAnsi="La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434343"/>
                <w:sz w:val="24"/>
                <w:szCs w:val="24"/>
                <w:rtl w:val="0"/>
              </w:rPr>
              <w:t xml:space="preserve">A fram</w:t>
            </w:r>
            <w:r w:rsidDel="00000000" w:rsidR="00000000" w:rsidRPr="00000000">
              <w:rPr>
                <w:rtl w:val="0"/>
              </w:rPr>
              <w:t xml:space="preserve">ework that recognizes learner variability and is a blueprint for creating instructional goals, methods, materials, and assessments that work for everyone–not a sin</w:t>
            </w:r>
            <w:r w:rsidDel="00000000" w:rsidR="00000000" w:rsidRPr="00000000">
              <w:rPr>
                <w:rFonts w:ascii="Lato" w:cs="Lato" w:eastAsia="Lato" w:hAnsi="Lato"/>
                <w:color w:val="434343"/>
                <w:sz w:val="24"/>
                <w:szCs w:val="24"/>
                <w:rtl w:val="0"/>
              </w:rPr>
              <w:t xml:space="preserve">gle, one-size-fits-all solution but rather flexible approaches to teaching and learning.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rFonts w:ascii="Lato" w:cs="Lato" w:eastAsia="Lato" w:hAnsi="La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>
                <w:rFonts w:ascii="Lato" w:cs="Lato" w:eastAsia="Lato" w:hAnsi="La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Learners are not disabled. Curriculum is.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Firm goals, flexible means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Eliminating barriers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Embracing variability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Outcome of expert learning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Three principles: provide multiple means of engagement, representation, and action and expression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ind w:left="720" w:firstLine="0"/>
              <w:rPr>
                <w:rFonts w:ascii="Lato" w:cs="Lato" w:eastAsia="Lato" w:hAnsi="Lato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b4dcd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Style w:val="Heading2"/>
              <w:widowControl w:val="0"/>
              <w:spacing w:after="0" w:before="0" w:lineRule="auto"/>
              <w:jc w:val="center"/>
              <w:rPr>
                <w:color w:val="ffffff"/>
              </w:rPr>
            </w:pPr>
            <w:bookmarkStart w:colFirst="0" w:colLast="0" w:name="_2h2gb1jjiyw2" w:id="5"/>
            <w:bookmarkEnd w:id="5"/>
            <w:r w:rsidDel="00000000" w:rsidR="00000000" w:rsidRPr="00000000">
              <w:rPr>
                <w:color w:val="ffffff"/>
                <w:rtl w:val="0"/>
              </w:rPr>
              <w:t xml:space="preserve">Irrelevant Attributes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b4dcd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Style w:val="Heading2"/>
              <w:widowControl w:val="0"/>
              <w:spacing w:after="0" w:before="0" w:lineRule="auto"/>
              <w:jc w:val="center"/>
              <w:rPr>
                <w:color w:val="ffffff"/>
              </w:rPr>
            </w:pPr>
            <w:bookmarkStart w:colFirst="0" w:colLast="0" w:name="_2h2gb1jjiyw2" w:id="5"/>
            <w:bookmarkEnd w:id="5"/>
            <w:r w:rsidDel="00000000" w:rsidR="00000000" w:rsidRPr="00000000">
              <w:rPr>
                <w:color w:val="ffffff"/>
                <w:rtl w:val="0"/>
              </w:rPr>
              <w:t xml:space="preserve">Non-Examples</w:t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Fun!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Requires technology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Only for special education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Differentiated Instruction (DI)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“Good teaching”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Personalized learning</w:t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rPr>
          <w:rFonts w:ascii="Lato" w:cs="Lato" w:eastAsia="Lato" w:hAnsi="Lato"/>
          <w:color w:val="434343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>
        <w:rFonts w:ascii="Lato" w:cs="Lato" w:eastAsia="Lato" w:hAnsi="Lato"/>
        <w:color w:val="57869b"/>
      </w:rPr>
    </w:pPr>
    <w:r w:rsidDel="00000000" w:rsidR="00000000" w:rsidRPr="00000000">
      <w:rPr>
        <w:rFonts w:ascii="Lato" w:cs="Lato" w:eastAsia="Lato" w:hAnsi="Lato"/>
        <w:color w:val="57869b"/>
        <w:rtl w:val="0"/>
      </w:rPr>
      <w:t xml:space="preserve">For more resources, visit novakeducation.com/resources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center"/>
      <w:rPr>
        <w:i w:val="1"/>
        <w:color w:val="999999"/>
        <w:sz w:val="20"/>
        <w:szCs w:val="20"/>
      </w:rPr>
    </w:pPr>
    <w:r w:rsidDel="00000000" w:rsidR="00000000" w:rsidRPr="00000000">
      <w:rPr>
        <w:rFonts w:ascii="Nova Mono" w:cs="Nova Mono" w:eastAsia="Nova Mono" w:hAnsi="Nova Mono"/>
        <w:i w:val="1"/>
        <w:color w:val="999999"/>
        <w:sz w:val="20"/>
        <w:szCs w:val="20"/>
        <w:rtl w:val="0"/>
      </w:rPr>
      <w:t xml:space="preserve">Go to File → Make a Copy to Edit and Save to Create Your Own Frayer Model</w:t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434343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  <w:jc w:val="center"/>
    </w:pPr>
    <w:rPr>
      <w:rFonts w:ascii="Lato" w:cs="Lato" w:eastAsia="Lato" w:hAnsi="Lato"/>
      <w:color w:val="57869b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