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6vpa8c3fb31a" w:id="0"/>
      <w:bookmarkEnd w:id="0"/>
      <w:r w:rsidDel="00000000" w:rsidR="00000000" w:rsidRPr="00000000">
        <w:rPr>
          <w:rtl w:val="0"/>
        </w:rPr>
        <w:t xml:space="preserve">Prompt to Ludia: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i w:val="1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I have a diverse class. When I pose comprehension questions based on content standards, how can I universally design the question/answer experience?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4stx6hdvc7ce" w:id="1"/>
      <w:bookmarkEnd w:id="1"/>
      <w:r w:rsidDel="00000000" w:rsidR="00000000" w:rsidRPr="00000000">
        <w:rPr>
          <w:rtl w:val="0"/>
        </w:rPr>
        <w:t xml:space="preserve">Response from Ludia: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Here are some suggestions that intentionally build in multiple means of representation and action &amp; expression: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Access Choice Routine: Post comprehension questions on the board visually, also read them aloud and share in a printed handout - allowing students to engage in their preferred way.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Brain Dump Routine: After discussing a new concept, invite students to write down initial thoughts on individual whiteboards and share with a partner, easing pressure as they explore understanding.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Collaborative Note-Taking Routine: Assign partners to be "note-takers" who write down both their own and their partner's answers when questions are posed, cross-checking comprehension together.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Response Choice Routine: For exit tickets, provide the question verbally and allow students to choose to write, draw or verbally respond their answer to the teacher or a peer to demonstrate their learning in their modality of choice.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The aim is reducing barriers through flexible options that tap strengths and build community. Please share feedback on implementing these to continually strengthen inclusive practices.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